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0" w:rsidRPr="00187D79" w:rsidRDefault="00B517C0" w:rsidP="00B51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187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FEJEZET: MŰSZAKI LEÍRÁS</w:t>
      </w:r>
    </w:p>
    <w:p w:rsidR="00B517C0" w:rsidRPr="00187D79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C0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083F">
        <w:rPr>
          <w:rFonts w:ascii="Times New Roman" w:hAnsi="Times New Roman" w:cs="Times New Roman"/>
          <w:color w:val="000000"/>
          <w:sz w:val="24"/>
          <w:szCs w:val="24"/>
        </w:rPr>
        <w:t>Bujtosi</w:t>
      </w:r>
      <w:proofErr w:type="spellEnd"/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városliget rekonstrukciója során zöldfelület megújítása tervezett, sövények, cserjék, fák ültetésével, öntözőrendszer kiépítésével együttesen. Városliget élhetőségének és használhatóságának elősegítése érdekében mosdó megvalósítása tervezett a meglévő játszótér környezetében. Akadálymentesítés jegyében átépülnek a meglévő salakos burkolatok, helyettük sportolási tevékenység végzésére is alkalmas futókör létesül, miközben máshol </w:t>
      </w:r>
      <w:proofErr w:type="gramStart"/>
      <w:r w:rsidRPr="00FD083F">
        <w:rPr>
          <w:rFonts w:ascii="Times New Roman" w:hAnsi="Times New Roman" w:cs="Times New Roman"/>
          <w:color w:val="000000"/>
          <w:sz w:val="24"/>
          <w:szCs w:val="24"/>
        </w:rPr>
        <w:t>két irányú</w:t>
      </w:r>
      <w:proofErr w:type="gramEnd"/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gyalogos forgalom lebonyolítására alkalmas térburkolatú járdák kialakítása tervezett. A félsziget megközelítését biztosító meglévő gyalogos híd állapota a kivitelezés során fenntartandó. Látványelemként horgászásra is alkalmas stégek alakítandók ki a tó </w:t>
      </w:r>
      <w:proofErr w:type="gramStart"/>
      <w:r w:rsidRPr="00FD083F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proofErr w:type="gramEnd"/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2 helyszínen.</w:t>
      </w:r>
    </w:p>
    <w:p w:rsidR="00B517C0" w:rsidRPr="00187D79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ab/>
        <w:t>Út és járdaszegélyek építés: 5747 m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ab/>
        <w:t>Cserjeültetés: 1511 db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ab/>
        <w:t>Faültetés:84 db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ab/>
        <w:t>Térkő burkolat készítése: 6678 m2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D083F">
        <w:rPr>
          <w:rFonts w:ascii="Times New Roman" w:hAnsi="Times New Roman" w:cs="Times New Roman"/>
          <w:color w:val="000000"/>
          <w:sz w:val="24"/>
          <w:szCs w:val="24"/>
        </w:rPr>
        <w:t>Polytan-M</w:t>
      </w:r>
      <w:proofErr w:type="spellEnd"/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burkolatú futókör: 1 563 m2</w:t>
      </w:r>
    </w:p>
    <w:p w:rsidR="00B517C0" w:rsidRPr="00C91842" w:rsidRDefault="00B517C0" w:rsidP="00B517C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Utcabútor: 90 db - Ajánlatkérő által elfogadott utcabútor: pad, piknik pad, </w:t>
      </w:r>
      <w:proofErr w:type="spellStart"/>
      <w:r w:rsidRPr="00E53397">
        <w:rPr>
          <w:rFonts w:ascii="Times New Roman" w:hAnsi="Times New Roman" w:cs="Times New Roman"/>
          <w:bCs/>
          <w:color w:val="000000"/>
          <w:sz w:val="24"/>
          <w:szCs w:val="24"/>
        </w:rPr>
        <w:t>tűzrakóhely</w:t>
      </w:r>
      <w:proofErr w:type="spellEnd"/>
      <w:r w:rsidRPr="00E53397">
        <w:rPr>
          <w:rFonts w:ascii="Times New Roman" w:hAnsi="Times New Roman" w:cs="Times New Roman"/>
          <w:bCs/>
          <w:color w:val="000000"/>
          <w:sz w:val="24"/>
          <w:szCs w:val="24"/>
        </w:rPr>
        <w:t>, szemétgyű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jtő, ívó kút, információs </w:t>
      </w:r>
      <w:r w:rsidRPr="00E53397">
        <w:rPr>
          <w:rFonts w:ascii="Times New Roman" w:hAnsi="Times New Roman" w:cs="Times New Roman"/>
          <w:bCs/>
          <w:color w:val="000000"/>
          <w:sz w:val="24"/>
          <w:szCs w:val="24"/>
        </w:rPr>
        <w:t>tábla, napozóágy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C0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16E">
        <w:rPr>
          <w:rFonts w:ascii="Times New Roman" w:hAnsi="Times New Roman" w:cs="Times New Roman"/>
          <w:color w:val="000000"/>
          <w:sz w:val="24"/>
          <w:szCs w:val="24"/>
        </w:rPr>
        <w:t xml:space="preserve">Az építési beruházás kapcsán engedélyköteles munkarész a </w:t>
      </w:r>
      <w:proofErr w:type="spellStart"/>
      <w:r w:rsidRPr="0094316E">
        <w:rPr>
          <w:rFonts w:ascii="Times New Roman" w:hAnsi="Times New Roman" w:cs="Times New Roman"/>
          <w:color w:val="000000"/>
          <w:sz w:val="24"/>
          <w:szCs w:val="24"/>
        </w:rPr>
        <w:t>Bujtosi</w:t>
      </w:r>
      <w:proofErr w:type="spellEnd"/>
      <w:r w:rsidRPr="0094316E">
        <w:rPr>
          <w:rFonts w:ascii="Times New Roman" w:hAnsi="Times New Roman" w:cs="Times New Roman"/>
          <w:color w:val="000000"/>
          <w:sz w:val="24"/>
          <w:szCs w:val="24"/>
        </w:rPr>
        <w:t xml:space="preserve"> tónál a kialakítandó mosdó.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C0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Részletes és tételes mennyiségeket és a részletes műszaki paramétereket, továbbá a nyertes ajánlattevő által </w:t>
      </w:r>
      <w:proofErr w:type="gramStart"/>
      <w:r w:rsidRPr="00FD083F">
        <w:rPr>
          <w:rFonts w:ascii="Times New Roman" w:hAnsi="Times New Roman" w:cs="Times New Roman"/>
          <w:color w:val="000000"/>
          <w:sz w:val="24"/>
          <w:szCs w:val="24"/>
        </w:rPr>
        <w:t>el végzendő</w:t>
      </w:r>
      <w:proofErr w:type="gramEnd"/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feladatok részletezését, részletes jellemzőit, a részletes szakmai követelmé</w:t>
      </w:r>
      <w:r>
        <w:rPr>
          <w:rFonts w:ascii="Times New Roman" w:hAnsi="Times New Roman" w:cs="Times New Roman"/>
          <w:color w:val="000000"/>
          <w:sz w:val="24"/>
          <w:szCs w:val="24"/>
        </w:rPr>
        <w:t>nyeket a közbeszerzési dokumentáció műszaki része</w:t>
      </w:r>
      <w:r w:rsidRPr="00FD083F">
        <w:rPr>
          <w:rFonts w:ascii="Times New Roman" w:hAnsi="Times New Roman" w:cs="Times New Roman"/>
          <w:color w:val="000000"/>
          <w:sz w:val="24"/>
          <w:szCs w:val="24"/>
        </w:rPr>
        <w:t xml:space="preserve"> tartalmazza.</w:t>
      </w: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C0" w:rsidRPr="00FD083F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A 321/2015. (X. 30.) Korm. rendelet (továbbiakban: Kr.) 46. § (3) bekezdésében foglaltakra tekintettel ajánlatkérő felhívja a figyelmet, hogy amennyiben a közbeszerzés tárgyának egyértelmű és közérthető meghatározása szükségessé tette meghatározott gyártmányú, eredetű, típusú dologra, eljárásra, tevékenységre, személyre, szabadalomra vagy védjegyre való hivatkozást, a megnevezés csak a tárgy jellegének egyértelmű meghatározása érdekében történt, és megnevezés mellett a „vagy azzal egyenértékű” minden esetben értendő.</w:t>
      </w:r>
    </w:p>
    <w:p w:rsidR="00B517C0" w:rsidRPr="00187D79" w:rsidRDefault="00B517C0" w:rsidP="00B5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3F">
        <w:rPr>
          <w:rFonts w:ascii="Times New Roman" w:hAnsi="Times New Roman" w:cs="Times New Roman"/>
          <w:color w:val="000000"/>
          <w:sz w:val="24"/>
          <w:szCs w:val="24"/>
        </w:rPr>
        <w:t>Ajánlatkérő felhívja a figyelmet, hogy, egyenértékű dolog megajánlása esetén az egyenértékűséget az ajánlattevőnek az ajánlatában igazolnia kell</w:t>
      </w:r>
    </w:p>
    <w:p w:rsidR="0056722A" w:rsidRDefault="0056722A"/>
    <w:sectPr w:rsidR="0056722A" w:rsidSect="0056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517C0"/>
    <w:rsid w:val="0056722A"/>
    <w:rsid w:val="00B5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7C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2018-07-11T19:53:00Z</dcterms:created>
  <dcterms:modified xsi:type="dcterms:W3CDTF">2018-07-11T19:53:00Z</dcterms:modified>
</cp:coreProperties>
</file>